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Политика обработки персональных данных</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1. ОБЩИЕ ПОЛОЖЕНИЯ</w:t>
      </w:r>
    </w:p>
    <w:p w:rsidR="00000000" w:rsidDel="00000000" w:rsidP="00000000" w:rsidRDefault="00000000" w:rsidRPr="00000000" w14:paraId="000000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40" w:line="240" w:lineRule="auto"/>
        <w:ind w:left="90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Настоящий документ определяет политику в отношении обработки и конфиденциальности персональных данных и информации (далее по тексту – Политика) и излагает основные принципы в отношении обработки указанной информации Оператором персональных данных - АО «СЗ «Жилье-2000» (ОГРН 1027200847937 ИНН 7203075558 Юридический адрес: 625026, г. Тюмень, ул. Малыгина, д.86, корп.1, оф. 12) (далее по тексту – Компания).</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Политика также объясняет, каким образом Компания обрабатывает и защищает персональные данные субъектов и иную информацию физических лиц.</w:t>
      </w:r>
    </w:p>
    <w:p w:rsidR="00000000" w:rsidDel="00000000" w:rsidP="00000000" w:rsidRDefault="00000000" w:rsidRPr="00000000" w14:paraId="0000000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40" w:line="240" w:lineRule="auto"/>
        <w:ind w:left="900" w:right="0" w:hanging="360"/>
        <w:jc w:val="both"/>
        <w:rPr>
          <w:rFonts w:ascii="Century Gothic" w:cs="Century Gothic" w:eastAsia="Century Gothic" w:hAnsi="Century Gothic"/>
          <w:sz w:val="18"/>
          <w:szCs w:val="18"/>
        </w:rPr>
      </w:pPr>
      <w:bookmarkStart w:colFirst="0" w:colLast="0" w:name="_heading=h.gjdgxs" w:id="0"/>
      <w:bookmarkEnd w:id="0"/>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Политика регулируют отношения между Компанией и любым физическим лицом - клиентом, представителем клиента, пользователем Сайта, риэлтором - по обработке персональных данных указанных лиц, предоставленных ими Компании.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Персональные данные – личная информация, добровольно и осознанно предоставляемая физическим лицом в процессе взаимодействия с Компанией и использования Сервисов Сайтов.</w:t>
      </w:r>
    </w:p>
    <w:p w:rsidR="00000000" w:rsidDel="00000000" w:rsidP="00000000" w:rsidRDefault="00000000" w:rsidRPr="00000000" w14:paraId="000000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40" w:line="240" w:lineRule="auto"/>
        <w:ind w:left="90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Настоящая Политика является неотъемлемой частью Публичной оферты, размещенной на сайтах в сети Интернет по адресу: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hyperlink r:id="rId7">
        <w:r w:rsidDel="00000000" w:rsidR="00000000" w:rsidRPr="00000000">
          <w:rPr>
            <w:rFonts w:ascii="Century Gothic" w:cs="Century Gothic" w:eastAsia="Century Gothic" w:hAnsi="Century Gothic"/>
            <w:color w:val="1155cc"/>
            <w:sz w:val="20"/>
            <w:szCs w:val="20"/>
            <w:u w:val="single"/>
            <w:rtl w:val="0"/>
          </w:rPr>
          <w:t xml:space="preserve">https://balance72.ru/</w:t>
        </w:r>
      </w:hyperlink>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240" w:line="240" w:lineRule="auto"/>
        <w:ind w:left="90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Использование сервисов Сайтов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w:t>
      </w:r>
    </w:p>
    <w:p w:rsidR="00000000" w:rsidDel="00000000" w:rsidP="00000000" w:rsidRDefault="00000000" w:rsidRPr="00000000" w14:paraId="0000000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240" w:line="240" w:lineRule="auto"/>
        <w:ind w:left="90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Cookies - обезличенные данные, автоматически получаемые Сайтами в процессе Вашего нахождения на любой странице Сайта, при помощи установленного на Вашем устройстве программного обеспечения: IP-адрес; информация из cookie; информация об устройствах, с которых вы заходите на Сайт (тип устройства, модель, версия браузера); информация о Вашем браузере (или иной программе, с помощью которой осуществляется доступ к сервисам Сайта); время доступа, адрес запрашиваемой страницы.</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2. ПОРЯДОК И УСЛОВИЯ ОБРАБОТКИ ПЕРСОНАЛЬНЫХ ДАННЫХ И ЕЕ ПЕРЕДАЧИ ТРЕТЬИМ ЛИЦАМ</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Цели обработки персональных данных: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bookmarkStart w:colFirst="0" w:colLast="0" w:name="_heading=h.30j0zll" w:id="1"/>
      <w:bookmarkEnd w:id="1"/>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Для связи с Клиентом, Риэлтором Сотрудниками Отдела продаж Компании в целях консультирования и продвижения недвижимости на рынке;</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Организация процесса сбора информации и данных для получения Клиентом одобрения по ипотеки в банках;</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Бронирование объекта долевого участия в строящихся жилых комплексах, заключение гражданско-правовых договоров, таких как, участие в долевом строительстве, уступки права требования по договору долевого участия, купли-продажи объекта недвижимости;</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Установления с Клиентом обратной связи, включая направление уведомлений, запросов, обработку запросов и заявок от Клиента; Предоставления Клиенту эффективной клиентской и технической поддержки при возникновении проблем, связанных с использованием Сайтов;</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Информирования Клиента о проводимых Компанией мероприятий и акций; Осуществления рекламной деятельности путем распространения информационных/рекламных оповещений (рассылок) посредством SMS/e-mail/иных средств связи);</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Проведения статистических и иных исследований на основе обезличенных данных (информация из cookie).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Основанием обработки персональных данных физических лиц является согласие на обработку персональных данных. Физические лица дают свое согласие на обработку своих персональных данных в следующих случаях: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0" w:firstLine="567"/>
        <w:jc w:val="both"/>
        <w:rPr>
          <w:rFonts w:ascii="Times" w:cs="Times" w:eastAsia="Times" w:hAnsi="Times"/>
          <w:b w:val="0"/>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при заполнении и отправки форм на Сайтах: оставить заявку/ заказать звонок/ получить консультацию/ обратная связь/ открытая линия БалансДевелопмент/ получить предложение/ подобрать квартиру;</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0" w:firstLine="567"/>
        <w:jc w:val="both"/>
        <w:rPr>
          <w:rFonts w:ascii="Times" w:cs="Times" w:eastAsia="Times" w:hAnsi="Times"/>
          <w:b w:val="0"/>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при получении консультаций от сотрудников Офиса продаж по вопросам приобретения недвижимости, как при личном посещении Офиса продаж, так и при осуществлении телефонного разговора/e-mail/месседжеры/иные средства связи;</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0" w:firstLine="567"/>
        <w:jc w:val="both"/>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при осуществлении бронирования объекта долевого участия в строящихся жилых комплекса. При заключении гражданско-правовых договоров, таких как, участия в долевом строительстве, уступки права требования по договору долевого участия, купли-продажи объекта недвижимости.</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2.1. Перечень персональных данных, обрабатываемых на Сайтах, и для связи с Клиентом, Риэлтором Сотрудниками Отдела продаж Компании в целях консультирования и продвижения недвижимости на рынке:</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Фамилия, имя, отчество;</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Адрес электронной почты (e-mail);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Контактный телефон.</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Пользователь сайта, нажимая кнопку «Оставить заявку», «Заказать звонок», «Получить консультацию», «Обратная связь» «Открытая линия БалансДевелопмент» «получить предложение» «подобрать квартиру» и проставляя галочку в чек-боксе на сайте, отправляет Компании Согласие на обработку и передачу персональных данных и подтверждает, что ознакомился с настоящей Политикой. Согласие дается на обработку персональных данных и передачу их Застройщику, как с использованием средств автоматизации, так и без таких средств, и действует до дня отзыва в письменной/электронной форме в порядке, предусмотренном настоящей Политикой.</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240" w:line="240" w:lineRule="auto"/>
        <w:ind w:left="90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Перечень персональных данных при организации процесса сбора информации и данных для получения Клиентом одобрения по ипотеки в банках:</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фамилия, имя, отчество (в том числе предыдущие фамилия, имя, отчество);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дата и место рождения;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пол;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семейное положение;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социальное положение;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паспортные данные, реквизиты ранее выданных документов, удостоверяющих личность;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адрес места регистрации и адрес фактического проживания;</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образование;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профессия;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доходы;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гражданство;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идентификационный номер налогоплательщика (ИНН);</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номер страхового свидетельства государственного пенсионного страхования (СНИЛС);</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данные, содержащиеся в документах воинского учета (при их наличии);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номер мобильного телефона и рабочего телефона;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адрес электронной почты;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данные о трудовой деятельности;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место работы, занимаемая должность;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рабочий адрес;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признаки самозанятого или регистрационные данные индивидуального предпринимателя.</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Принятием (акцептом) оферты Согласия является заполнения формы Согласия на обработку персональных данных и передача его Компании. Согласие дается на обработку персональных данных и передачу их третьей стороне, участвующей в достижении указанной цели, как без использования средств автоматизации, так и с их использованием, и действует до момента достижения цели или до дня отзыва в письменной/электронной форме в порядке, предусмотренном настоящей Политикой.</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2.3. Перечень персональных данных при бронировании объекта долевого участия в строящихся жилых комплексах, при заключении гражданско-правовых договоров, таких как, участия в долевом строительстве, уступки права требования по договору долевого участия, купли-продажи объекта недвижимости:</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фамилия, имя, отчество;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дата и место рождения;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пол;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семейное положение;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паспортные данные;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данные свидетельства о рождении;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адрес места регистрации и адрес фактического проживания;</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идентификационный номер налогоплательщика (ИНН);</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номер страхового свидетельства государственного пенсионного страхования (СНИЛС);</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реквизиты банковского счета, реквизиты эскроу-счета;</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номер мобильного телефона;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адрес электронной почты;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регистрационные данные индивидуального предпринимателя;</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данные представителя юридического лица.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Принятием (акцептом) оферты Согласия является заполнения формы Согласия на обработку персональных данных и передача его Компании либо путем заключения гражданско-правового договора. Согласие дается на обработку персональных данных и передачу их третьей стороне, как без использования средств автоматизации, так и с их использованием, и действует в период исполнения сторонами обязательств по заключенному договору или до дня отзыва в письменной/электронной форме в порядке, предусмотренном настоящей Политикой.</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3. Компания не проверяют достоверность предоставленных физическим лицом персональных данных и не осуществляют контроль их актуальности. Компания исходит из того, что физическое лицо предоставляет достоверные и достаточные персональные данные, и поддерживает эту информацию в актуальном состоянии. Всю ответственность за последствия предоставления недостоверных или недействительных персональных данных несёте лично физическое лицо.</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4. Физическое лицо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5. В отношении персональных данных физического лица сохраняется их конфиденциальность, кроме случаев добровольного предоставления физическим лицом информации о себе для общего доступа неограниченному кругу лиц.</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6. Перечень действий с персональными данными, а также способы их обработки определены в соответствии с Федеральным </w:t>
      </w:r>
      <w:hyperlink r:id="rId8">
        <w:r w:rsidDel="00000000" w:rsidR="00000000" w:rsidRPr="00000000">
          <w:rPr>
            <w:rFonts w:ascii="Century Gothic" w:cs="Century Gothic" w:eastAsia="Century Gothic" w:hAnsi="Century Gothic"/>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от 27.07.2006 N 152-ФЗ «О персональных данных». В ходе обработки с персональными данными будут совершены следующие действия в том числе, но не ограничиваясь: сбор; запись; систематизация; накопление; хранение; уточнение (обновление, изменение); передача; удаление, уничтожение персональных данных, в том числе в информационных системах персональных данных с использованием средств автоматизации или без использования таких средств.</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7. Компания не осуществляет трансграничную передачу персональных данных физических лиц.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8. Компания вправе передавать персональные данные физических лиц своим Партнерам для достижения указанных в настоящей Политики целей. На Партнере лежит обязанность по получению согласия физического лица на обработку его персональных данных, а также ответственность за их обработку, хранение, обеспечения безопасности, уничтожение. Партнерами Компании являются: </w:t>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ООО «СЗ «СТИУР-СК» (ОГРН 1037200627100 ИНН 7203139064 Юридический адрес: 625026 г. Тюмень, ул. Малыгина д.86, корп.1, офис 4)</w:t>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ООО «СЗ «Баланс Одесская» (ОГРН 1037200627100 ИНН 7203542700 Юридический адрес: 625026, г. Тюмень, ул. Малыгина, д. 86, корпус 1, офис 3)</w:t>
      </w:r>
    </w:p>
    <w:p w:rsidR="00000000" w:rsidDel="00000000" w:rsidP="00000000" w:rsidRDefault="00000000" w:rsidRPr="00000000" w14:paraId="000000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ООО «Домклик» (ОГРН 1157746652150 ИНН 7736249247 Юридический адрес: 121170, г. Москва, пр-т Кутузовский, дом. 32, корп. 1)</w:t>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АО «Аналитический Центр» (ОГРН 1105260001175 ИНН 5260270696 Юридический адрес: 105005, г. Москва, ул. Радио, д. 24, корпус 1, помещение V, комната 23)</w:t>
      </w:r>
    </w:p>
    <w:p w:rsidR="00000000" w:rsidDel="00000000" w:rsidP="00000000" w:rsidRDefault="00000000" w:rsidRPr="00000000" w14:paraId="000000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ООО «СДЕЛКАРФ» (ОГРН 1196658014475 ИНН 6671093558 Юридический адрес: 620075, г. Екатеринбург, ул. Гоголя, д. 18, пом. 329)</w:t>
      </w:r>
    </w:p>
    <w:p w:rsidR="00000000" w:rsidDel="00000000" w:rsidP="00000000" w:rsidRDefault="00000000" w:rsidRPr="00000000" w14:paraId="0000005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40" w:line="240" w:lineRule="auto"/>
        <w:ind w:left="126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Банки</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9.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Условием прекращения обработки персональных данных может являться достижение целей обработки персональных данных, истечение срока обработки персональных данных, отзыв согласия физическим лицом на обработку его персональных данных, а также выявление неправомерной обработки персональных данных.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3. МЕРЫ ОБЕСПЕЧЕНИЯ БЕЗОПАСНОСТИ ПЕРСОНАЛЬНЫХ ДАННЫХ</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1. Компания защищает персональные данные физических лиц в соответствии с требованиями, предъявляемыми к защите такого рода информации, и несет ответственность за использование безопасных методов защиты такой информации.</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2. Для защиты персональных данных физических лиц, обеспечения их надлежащего использования и предотвращения несанкционированного и/или случайного доступа к ним, Компания применяет необходимые и достаточные технические и административные меры:</w:t>
      </w:r>
    </w:p>
    <w:p w:rsidR="00000000" w:rsidDel="00000000" w:rsidP="00000000" w:rsidRDefault="00000000" w:rsidRPr="00000000" w14:paraId="0000005C">
      <w:pPr>
        <w:spacing w:after="0" w:line="240" w:lineRule="auto"/>
        <w:ind w:firstLine="426"/>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 назначение ответственных лиц за организацию обработки и обеспечение защиты персональных данных; </w:t>
      </w:r>
    </w:p>
    <w:p w:rsidR="00000000" w:rsidDel="00000000" w:rsidP="00000000" w:rsidRDefault="00000000" w:rsidRPr="00000000" w14:paraId="0000005D">
      <w:pPr>
        <w:spacing w:after="0" w:line="240" w:lineRule="auto"/>
        <w:ind w:firstLine="426"/>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 ограничение состава работников Компании, имеющих доступ к персональным данным;</w:t>
      </w:r>
    </w:p>
    <w:p w:rsidR="00000000" w:rsidDel="00000000" w:rsidP="00000000" w:rsidRDefault="00000000" w:rsidRPr="00000000" w14:paraId="0000005E">
      <w:pPr>
        <w:spacing w:after="0" w:line="240" w:lineRule="auto"/>
        <w:ind w:firstLine="426"/>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 определение уровня защищенности персональных данных при обработке в информационных системах персональных данных, установление правил разграничения доступа к персональным данным, обрабатываемым в информационных системах </w:t>
      </w:r>
    </w:p>
    <w:p w:rsidR="00000000" w:rsidDel="00000000" w:rsidP="00000000" w:rsidRDefault="00000000" w:rsidRPr="00000000" w14:paraId="0000005F">
      <w:pPr>
        <w:spacing w:after="0" w:line="240" w:lineRule="auto"/>
        <w:ind w:firstLine="426"/>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 ограничение доступа в помещения,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 </w:t>
      </w:r>
    </w:p>
    <w:p w:rsidR="00000000" w:rsidDel="00000000" w:rsidP="00000000" w:rsidRDefault="00000000" w:rsidRPr="00000000" w14:paraId="00000060">
      <w:pPr>
        <w:spacing w:after="0" w:line="240" w:lineRule="auto"/>
        <w:ind w:firstLine="426"/>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 ведение учета машинных носителей персональных данных; </w:t>
      </w:r>
    </w:p>
    <w:p w:rsidR="00000000" w:rsidDel="00000000" w:rsidP="00000000" w:rsidRDefault="00000000" w:rsidRPr="00000000" w14:paraId="00000061">
      <w:pPr>
        <w:spacing w:after="0" w:line="240" w:lineRule="auto"/>
        <w:ind w:firstLine="426"/>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 установление требований к сложности паролей для доступа к информационным системам персональных данных;</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осуществление антивирусного контроля, предотвращение внедрения в корпоративную сеть вредоносных программ (программ-вирусов) и программных закладок;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организация своевременного обновления программного обеспечения, используемого в информационных системах персональных данных и средств защиты информации;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проведение регулярной оценки эффективности принимаемых мер по обеспечению безопасности персональных данных;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обнаружение фактов несанкционированного доступа к персональным данным и принятие мер по установлению причин и устранению возможных последствий;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4. ЗАКЛЮЧИТЕЛЬНЫЕ ПОЛОЖЕНИЯ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1.  Лица, виновные в нарушении норм, регулирующих обработку и защиту персональных, несут материальную, дисциплинарную, административную, гражданско-правовую или уголовную ответственность в порядке, законодательством Российской Федерации.</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2. До обращения в суд с иском по спорам, возникающим из отношений между физическим лицом и Компанией, обязательным является предъявление претензии (письменного предложения о добровольном урегулировании спора). Срок ответ ответа на претензию 10 рабочих дней. При недостижении соглашения спор будет передан на рассмотрение в суд в соответствии с действующим законодательством Российской Федерации.</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3. Настоящая политика действует бессрочно и подлежит актуализации без согласия физического лица в случаях: изменения законодательства РФ о персональных данных; выявления несоответствий, затрагивающих обработку и (или) защиту персональных данных, по результатам контроля выполнения требований по обработке и (или) защите персональных данных; по решению руководства Компании.</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Новая Политика вступает в силу с момента ее размещения на Сайте, если иное не предусмотрено новой редакцией Политики.</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4. Уведомление об отзыве согласия на обработку персональных данных направляется в виде скан-образа подписанного уведомления на адрес электронной почты: sale@balance72.ru или путем письменного обращения по юридическому адресу: 625026, г. Тюмень, ул. Малыгина, д.86, корп.1, оф. 12.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В случае получения уведомления от физического лица об отзыве согласия на обработку персональных данных Компания прекращает обработку персональных данных физического лица в срок, не превышающий 10 рабочих дней с момента получения.</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540" w:right="0" w:firstLine="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5. Действующая Политика конфиденциальности размещена на странице по адресу: </w:t>
      </w:r>
      <w:r w:rsidDel="00000000" w:rsidR="00000000" w:rsidRPr="00000000">
        <w:rPr>
          <w:rFonts w:ascii="Century Gothic" w:cs="Century Gothic" w:eastAsia="Century Gothic" w:hAnsi="Century Gothic"/>
          <w:i w:val="0"/>
          <w:smallCaps w:val="0"/>
          <w:strike w:val="0"/>
          <w:color w:val="0000ff"/>
          <w:sz w:val="20"/>
          <w:szCs w:val="20"/>
          <w:u w:val="single"/>
          <w:shd w:fill="auto" w:val="clear"/>
          <w:vertAlign w:val="baseline"/>
          <w:rtl w:val="0"/>
        </w:rPr>
        <w:t xml:space="preserve">     </w:t>
      </w:r>
      <w:hyperlink r:id="rId9">
        <w:r w:rsidDel="00000000" w:rsidR="00000000" w:rsidRPr="00000000">
          <w:rPr>
            <w:rFonts w:ascii="Century Gothic" w:cs="Century Gothic" w:eastAsia="Century Gothic" w:hAnsi="Century Gothic"/>
            <w:color w:val="1155cc"/>
            <w:sz w:val="20"/>
            <w:szCs w:val="20"/>
            <w:u w:val="single"/>
            <w:rtl w:val="0"/>
          </w:rPr>
          <w:t xml:space="preserve">https://balance72.ru/</w:t>
        </w:r>
      </w:hyperlink>
      <w:r w:rsidDel="00000000" w:rsidR="00000000" w:rsidRPr="00000000">
        <w:rPr>
          <w:rFonts w:ascii="Century Gothic" w:cs="Century Gothic" w:eastAsia="Century Gothic" w:hAnsi="Century Gothic"/>
          <w:color w:val="0000ff"/>
          <w:sz w:val="20"/>
          <w:szCs w:val="20"/>
          <w:u w:val="single"/>
          <w:rtl w:val="0"/>
        </w:rPr>
        <w:t xml:space="preserve"> </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40" w:line="240" w:lineRule="auto"/>
        <w:ind w:left="900" w:right="0" w:hanging="36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Все предложения или вопросы по настоящей Политике следует сообщать по адресу электронной почты sale@balance72.ru</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567" w:top="567"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hanging="360"/>
      </w:pPr>
      <w:rPr/>
    </w:lvl>
    <w:lvl w:ilvl="1">
      <w:start w:val="2"/>
      <w:numFmt w:val="decimal"/>
      <w:lvlText w:val="%1.%2."/>
      <w:lvlJc w:val="left"/>
      <w:pPr>
        <w:ind w:left="900" w:hanging="360"/>
      </w:pPr>
      <w:rPr/>
    </w:lvl>
    <w:lvl w:ilvl="2">
      <w:start w:val="1"/>
      <w:numFmt w:val="decimal"/>
      <w:lvlText w:val="%1.%2.%3."/>
      <w:lvlJc w:val="left"/>
      <w:pPr>
        <w:ind w:left="1260" w:hanging="720"/>
      </w:pPr>
      <w:rPr/>
    </w:lvl>
    <w:lvl w:ilvl="3">
      <w:start w:val="1"/>
      <w:numFmt w:val="decimal"/>
      <w:lvlText w:val="%1.%2.%3.%4."/>
      <w:lvlJc w:val="left"/>
      <w:pPr>
        <w:ind w:left="1260" w:hanging="720"/>
      </w:pPr>
      <w:rPr/>
    </w:lvl>
    <w:lvl w:ilvl="4">
      <w:start w:val="1"/>
      <w:numFmt w:val="decimal"/>
      <w:lvlText w:val="%1.%2.%3.%4.%5."/>
      <w:lvlJc w:val="left"/>
      <w:pPr>
        <w:ind w:left="1620" w:hanging="1080"/>
      </w:pPr>
      <w:rPr/>
    </w:lvl>
    <w:lvl w:ilvl="5">
      <w:start w:val="1"/>
      <w:numFmt w:val="decimal"/>
      <w:lvlText w:val="%1.%2.%3.%4.%5.%6."/>
      <w:lvlJc w:val="left"/>
      <w:pPr>
        <w:ind w:left="1620" w:hanging="1080"/>
      </w:pPr>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3">
    <w:lvl w:ilvl="0">
      <w:start w:val="6"/>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4">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5">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6">
    <w:lvl w:ilvl="0">
      <w:start w:val="1"/>
      <w:numFmt w:val="decimal"/>
      <w:lvlText w:val="%1."/>
      <w:lvlJc w:val="left"/>
      <w:pPr>
        <w:ind w:left="900" w:hanging="360"/>
      </w:pPr>
      <w:rPr/>
    </w:lvl>
    <w:lvl w:ilvl="1">
      <w:start w:val="1"/>
      <w:numFmt w:val="decimal"/>
      <w:lvlText w:val="%1.%2."/>
      <w:lvlJc w:val="left"/>
      <w:pPr>
        <w:ind w:left="900" w:hanging="360"/>
      </w:pPr>
      <w:rPr/>
    </w:lvl>
    <w:lvl w:ilvl="2">
      <w:start w:val="1"/>
      <w:numFmt w:val="decimal"/>
      <w:lvlText w:val="%1.%2.%3."/>
      <w:lvlJc w:val="left"/>
      <w:pPr>
        <w:ind w:left="1260" w:hanging="720"/>
      </w:pPr>
      <w:rPr/>
    </w:lvl>
    <w:lvl w:ilvl="3">
      <w:start w:val="1"/>
      <w:numFmt w:val="decimal"/>
      <w:lvlText w:val="%1.%2.%3.%4."/>
      <w:lvlJc w:val="left"/>
      <w:pPr>
        <w:ind w:left="1260" w:hanging="720"/>
      </w:pPr>
      <w:rPr/>
    </w:lvl>
    <w:lvl w:ilvl="4">
      <w:start w:val="1"/>
      <w:numFmt w:val="decimal"/>
      <w:lvlText w:val="%1.%2.%3.%4.%5."/>
      <w:lvlJc w:val="left"/>
      <w:pPr>
        <w:ind w:left="1620" w:hanging="1080"/>
      </w:pPr>
      <w:rPr/>
    </w:lvl>
    <w:lvl w:ilvl="5">
      <w:start w:val="1"/>
      <w:numFmt w:val="decimal"/>
      <w:lvlText w:val="%1.%2.%3.%4.%5.%6."/>
      <w:lvlJc w:val="left"/>
      <w:pPr>
        <w:ind w:left="1620" w:hanging="1080"/>
      </w:pPr>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6"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55FC1"/>
    <w:rPr>
      <w:rFonts w:eastAsiaTheme="minorEastAsia"/>
      <w:lang w:eastAsia="ru-RU"/>
    </w:rPr>
  </w:style>
  <w:style w:type="paragraph" w:styleId="1">
    <w:name w:val="heading 1"/>
    <w:basedOn w:val="a"/>
    <w:next w:val="a"/>
    <w:link w:val="10"/>
    <w:uiPriority w:val="9"/>
    <w:qFormat w:val="1"/>
    <w:rsid w:val="00624AA6"/>
    <w:pPr>
      <w:keepNext w:val="1"/>
      <w:keepLines w:val="1"/>
      <w:spacing w:after="0" w:before="240" w:line="256" w:lineRule="auto"/>
      <w:outlineLvl w:val="0"/>
    </w:pPr>
    <w:rPr>
      <w:rFonts w:asciiTheme="majorHAnsi" w:cstheme="majorBidi" w:eastAsiaTheme="majorEastAsia" w:hAnsiTheme="majorHAnsi"/>
      <w:color w:val="2f5496" w:themeColor="accent1" w:themeShade="0000BF"/>
      <w:sz w:val="32"/>
      <w:szCs w:val="32"/>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PlusNormal" w:customStyle="1">
    <w:name w:val="ConsPlusNormal"/>
    <w:qFormat w:val="1"/>
    <w:rsid w:val="00655FC1"/>
    <w:pPr>
      <w:widowControl w:val="0"/>
      <w:autoSpaceDE w:val="0"/>
      <w:autoSpaceDN w:val="0"/>
      <w:adjustRightInd w:val="0"/>
      <w:spacing w:after="0" w:line="240" w:lineRule="auto"/>
    </w:pPr>
    <w:rPr>
      <w:rFonts w:ascii="Times New Roman" w:cs="Times New Roman" w:hAnsi="Times New Roman" w:eastAsiaTheme="minorEastAsia"/>
      <w:sz w:val="24"/>
      <w:szCs w:val="24"/>
      <w:lang w:eastAsia="ru-RU"/>
    </w:rPr>
  </w:style>
  <w:style w:type="paragraph" w:styleId="ConsPlusNonformat" w:customStyle="1">
    <w:name w:val="ConsPlusNonformat"/>
    <w:uiPriority w:val="99"/>
    <w:rsid w:val="00655FC1"/>
    <w:pPr>
      <w:widowControl w:val="0"/>
      <w:autoSpaceDE w:val="0"/>
      <w:autoSpaceDN w:val="0"/>
      <w:adjustRightInd w:val="0"/>
      <w:spacing w:after="0" w:line="240" w:lineRule="auto"/>
    </w:pPr>
    <w:rPr>
      <w:rFonts w:ascii="Courier New" w:cs="Courier New" w:hAnsi="Courier New" w:eastAsiaTheme="minorEastAsia"/>
      <w:sz w:val="20"/>
      <w:szCs w:val="20"/>
      <w:lang w:eastAsia="ru-RU"/>
    </w:rPr>
  </w:style>
  <w:style w:type="character" w:styleId="InternetLink" w:customStyle="1">
    <w:name w:val="Internet Link"/>
    <w:rsid w:val="0026311B"/>
    <w:rPr>
      <w:color w:val="0066cc"/>
      <w:u w:val="single"/>
    </w:rPr>
  </w:style>
  <w:style w:type="character" w:styleId="a3">
    <w:name w:val="Hyperlink"/>
    <w:rsid w:val="0026311B"/>
    <w:rPr>
      <w:color w:val="0000ff"/>
      <w:u w:val="single"/>
    </w:rPr>
  </w:style>
  <w:style w:type="character" w:styleId="a4">
    <w:name w:val="annotation reference"/>
    <w:basedOn w:val="a0"/>
    <w:uiPriority w:val="99"/>
    <w:semiHidden w:val="1"/>
    <w:unhideWhenUsed w:val="1"/>
    <w:rsid w:val="00772A45"/>
    <w:rPr>
      <w:sz w:val="16"/>
      <w:szCs w:val="16"/>
    </w:rPr>
  </w:style>
  <w:style w:type="paragraph" w:styleId="a5">
    <w:name w:val="annotation text"/>
    <w:basedOn w:val="a"/>
    <w:link w:val="a6"/>
    <w:uiPriority w:val="99"/>
    <w:semiHidden w:val="1"/>
    <w:unhideWhenUsed w:val="1"/>
    <w:rsid w:val="00772A45"/>
    <w:pPr>
      <w:spacing w:line="240" w:lineRule="auto"/>
    </w:pPr>
    <w:rPr>
      <w:sz w:val="20"/>
      <w:szCs w:val="20"/>
    </w:rPr>
  </w:style>
  <w:style w:type="character" w:styleId="a6" w:customStyle="1">
    <w:name w:val="Текст примечания Знак"/>
    <w:basedOn w:val="a0"/>
    <w:link w:val="a5"/>
    <w:uiPriority w:val="99"/>
    <w:semiHidden w:val="1"/>
    <w:rsid w:val="00772A45"/>
    <w:rPr>
      <w:rFonts w:eastAsiaTheme="minorEastAsia"/>
      <w:sz w:val="20"/>
      <w:szCs w:val="20"/>
      <w:lang w:eastAsia="ru-RU"/>
    </w:rPr>
  </w:style>
  <w:style w:type="paragraph" w:styleId="a7">
    <w:name w:val="annotation subject"/>
    <w:basedOn w:val="a5"/>
    <w:next w:val="a5"/>
    <w:link w:val="a8"/>
    <w:uiPriority w:val="99"/>
    <w:semiHidden w:val="1"/>
    <w:unhideWhenUsed w:val="1"/>
    <w:rsid w:val="00772A45"/>
    <w:rPr>
      <w:b w:val="1"/>
      <w:bCs w:val="1"/>
    </w:rPr>
  </w:style>
  <w:style w:type="character" w:styleId="a8" w:customStyle="1">
    <w:name w:val="Тема примечания Знак"/>
    <w:basedOn w:val="a6"/>
    <w:link w:val="a7"/>
    <w:uiPriority w:val="99"/>
    <w:semiHidden w:val="1"/>
    <w:rsid w:val="00772A45"/>
    <w:rPr>
      <w:rFonts w:eastAsiaTheme="minorEastAsia"/>
      <w:b w:val="1"/>
      <w:bCs w:val="1"/>
      <w:sz w:val="20"/>
      <w:szCs w:val="20"/>
      <w:lang w:eastAsia="ru-RU"/>
    </w:rPr>
  </w:style>
  <w:style w:type="paragraph" w:styleId="a9">
    <w:name w:val="Balloon Text"/>
    <w:basedOn w:val="a"/>
    <w:link w:val="aa"/>
    <w:uiPriority w:val="99"/>
    <w:semiHidden w:val="1"/>
    <w:unhideWhenUsed w:val="1"/>
    <w:rsid w:val="00772A45"/>
    <w:pPr>
      <w:spacing w:after="0" w:line="240" w:lineRule="auto"/>
    </w:pPr>
    <w:rPr>
      <w:rFonts w:ascii="Segoe UI" w:cs="Segoe UI" w:hAnsi="Segoe UI"/>
      <w:sz w:val="18"/>
      <w:szCs w:val="18"/>
    </w:rPr>
  </w:style>
  <w:style w:type="character" w:styleId="aa" w:customStyle="1">
    <w:name w:val="Текст выноски Знак"/>
    <w:basedOn w:val="a0"/>
    <w:link w:val="a9"/>
    <w:uiPriority w:val="99"/>
    <w:semiHidden w:val="1"/>
    <w:rsid w:val="00772A45"/>
    <w:rPr>
      <w:rFonts w:ascii="Segoe UI" w:cs="Segoe UI" w:hAnsi="Segoe UI" w:eastAsiaTheme="minorEastAsia"/>
      <w:sz w:val="18"/>
      <w:szCs w:val="18"/>
      <w:lang w:eastAsia="ru-RU"/>
    </w:rPr>
  </w:style>
  <w:style w:type="character" w:styleId="ab">
    <w:name w:val="Unresolved Mention"/>
    <w:basedOn w:val="a0"/>
    <w:uiPriority w:val="99"/>
    <w:semiHidden w:val="1"/>
    <w:unhideWhenUsed w:val="1"/>
    <w:rsid w:val="00863A99"/>
    <w:rPr>
      <w:color w:val="605e5c"/>
      <w:shd w:color="auto" w:fill="e1dfdd" w:val="clear"/>
    </w:rPr>
  </w:style>
  <w:style w:type="paragraph" w:styleId="ac">
    <w:name w:val="List Paragraph"/>
    <w:basedOn w:val="a"/>
    <w:uiPriority w:val="34"/>
    <w:qFormat w:val="1"/>
    <w:rsid w:val="00B43C2B"/>
    <w:pPr>
      <w:ind w:left="720"/>
      <w:contextualSpacing w:val="1"/>
    </w:pPr>
  </w:style>
  <w:style w:type="character" w:styleId="10" w:customStyle="1">
    <w:name w:val="Заголовок 1 Знак"/>
    <w:basedOn w:val="a0"/>
    <w:link w:val="1"/>
    <w:uiPriority w:val="9"/>
    <w:rsid w:val="00624AA6"/>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alance72.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alance72.ru/" TargetMode="External"/><Relationship Id="rId8" Type="http://schemas.openxmlformats.org/officeDocument/2006/relationships/hyperlink" Target="https://login.consultant.ru/link/?req=doc&amp;base=LAW&amp;n=422241&amp;date=02.02.20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R9GO40cHacMSjF4gMfz9alo0Ww==">AMUW2mVhrHE0WZjtD3vrDV6aCkS+HODQPr3fcQpdSTJvZ8McNS5JmdjCFtcxukGEfcBxYf9jtOZe7rlF/VhgmL55TiCFTAApA7TH+2TAoPZ31Vc39Lvlr2UQA0rrcY8ILbDyjb0nkQ6z65KKvgwb7maXACcG1bKunqduKW6Vgu4nAn269ehYBJYiDMxIs4xyir/d/uZE+YpQKJbh/1+fcxWVVK90Vfs+7PEOFFVzcuRz7wTYzjUX1rM=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2023-02-20T04:08:00Z</dcterms:created>
  <dc:creator>Головко Денис</dc:creator>
</cp:coreProperties>
</file>